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AE2" w:rsidRDefault="00547AE2" w:rsidP="00614DE2">
      <w:pPr>
        <w:spacing w:after="0" w:line="240" w:lineRule="auto"/>
        <w:jc w:val="right"/>
        <w:rPr>
          <w:rFonts w:ascii="Arial" w:hAnsi="Arial" w:cs="Arial"/>
          <w:sz w:val="28"/>
          <w:szCs w:val="28"/>
        </w:rPr>
      </w:pPr>
      <w:bookmarkStart w:id="0" w:name="_GoBack"/>
      <w:bookmarkEnd w:id="0"/>
    </w:p>
    <w:p w:rsidR="00614DE2" w:rsidRDefault="00614DE2" w:rsidP="00614DE2">
      <w:pPr>
        <w:spacing w:after="0" w:line="240" w:lineRule="auto"/>
        <w:jc w:val="right"/>
        <w:rPr>
          <w:rFonts w:ascii="Arial" w:hAnsi="Arial" w:cs="Arial"/>
          <w:sz w:val="28"/>
          <w:szCs w:val="28"/>
        </w:rPr>
      </w:pPr>
      <w:r>
        <w:rPr>
          <w:rFonts w:ascii="Arial" w:hAnsi="Arial" w:cs="Arial"/>
          <w:sz w:val="28"/>
          <w:szCs w:val="28"/>
        </w:rPr>
        <w:t xml:space="preserve">ČÁST </w:t>
      </w:r>
      <w:r w:rsidR="00E1425A">
        <w:rPr>
          <w:rFonts w:ascii="Arial" w:hAnsi="Arial" w:cs="Arial"/>
          <w:sz w:val="28"/>
          <w:szCs w:val="28"/>
        </w:rPr>
        <w:t>I</w:t>
      </w:r>
    </w:p>
    <w:p w:rsidR="00614DE2" w:rsidRPr="004F6F8C" w:rsidRDefault="00614DE2" w:rsidP="00614DE2">
      <w:pPr>
        <w:spacing w:after="0" w:line="240" w:lineRule="auto"/>
        <w:jc w:val="right"/>
        <w:rPr>
          <w:rFonts w:ascii="Arial" w:hAnsi="Arial" w:cs="Arial"/>
          <w:sz w:val="28"/>
          <w:szCs w:val="28"/>
        </w:rPr>
      </w:pPr>
    </w:p>
    <w:p w:rsidR="00614DE2" w:rsidRPr="004F6F8C" w:rsidRDefault="00614DE2" w:rsidP="00614DE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caps/>
          <w:sz w:val="24"/>
          <w:szCs w:val="24"/>
        </w:rPr>
      </w:pPr>
      <w:r w:rsidRPr="004F6F8C">
        <w:rPr>
          <w:rFonts w:ascii="Arial" w:hAnsi="Arial" w:cs="Arial"/>
          <w:b/>
          <w:caps/>
          <w:sz w:val="28"/>
          <w:szCs w:val="28"/>
        </w:rPr>
        <w:t xml:space="preserve">Doporučení odboru </w:t>
      </w:r>
      <w:r>
        <w:rPr>
          <w:rFonts w:ascii="Arial" w:hAnsi="Arial" w:cs="Arial"/>
          <w:b/>
          <w:caps/>
          <w:sz w:val="28"/>
          <w:szCs w:val="28"/>
        </w:rPr>
        <w:t xml:space="preserve">bezpečnostní politiky a </w:t>
      </w:r>
      <w:r w:rsidRPr="004F6F8C">
        <w:rPr>
          <w:rFonts w:ascii="Arial" w:hAnsi="Arial" w:cs="Arial"/>
          <w:b/>
          <w:caps/>
          <w:sz w:val="28"/>
          <w:szCs w:val="28"/>
        </w:rPr>
        <w:t>prevence kriminality Ministerstva vnitra ČR</w:t>
      </w:r>
      <w:r>
        <w:rPr>
          <w:rFonts w:ascii="Arial" w:hAnsi="Arial" w:cs="Arial"/>
          <w:b/>
          <w:caps/>
          <w:sz w:val="28"/>
          <w:szCs w:val="28"/>
        </w:rPr>
        <w:t xml:space="preserve"> </w:t>
      </w:r>
      <w:r w:rsidRPr="004F6F8C">
        <w:rPr>
          <w:rFonts w:ascii="Arial" w:hAnsi="Arial" w:cs="Arial"/>
          <w:b/>
          <w:caps/>
          <w:sz w:val="28"/>
          <w:szCs w:val="28"/>
        </w:rPr>
        <w:t>pro posílení udržitelnosti a bezpečnosti dotovaných dětských hřišť, sportovišť apod. zařízení z Programu prevence kriminality</w:t>
      </w:r>
      <w:r>
        <w:rPr>
          <w:rFonts w:ascii="Arial" w:hAnsi="Arial" w:cs="Arial"/>
          <w:b/>
          <w:caps/>
          <w:sz w:val="28"/>
          <w:szCs w:val="28"/>
        </w:rPr>
        <w:t xml:space="preserve"> na místní úrovni</w:t>
      </w:r>
      <w:r w:rsidRPr="004F6F8C">
        <w:rPr>
          <w:rFonts w:ascii="Arial" w:hAnsi="Arial" w:cs="Arial"/>
          <w:b/>
          <w:caps/>
          <w:sz w:val="24"/>
          <w:szCs w:val="24"/>
        </w:rPr>
        <w:t xml:space="preserve"> </w:t>
      </w:r>
    </w:p>
    <w:p w:rsidR="00614DE2" w:rsidRPr="00547AE2" w:rsidRDefault="00614DE2" w:rsidP="00614DE2">
      <w:pPr>
        <w:ind w:firstLine="708"/>
        <w:jc w:val="both"/>
        <w:rPr>
          <w:rFonts w:ascii="Arial" w:hAnsi="Arial" w:cs="Arial"/>
        </w:rPr>
      </w:pPr>
    </w:p>
    <w:p w:rsidR="00614DE2" w:rsidRPr="00547AE2" w:rsidRDefault="00614DE2" w:rsidP="00614DE2">
      <w:pPr>
        <w:ind w:firstLine="708"/>
        <w:jc w:val="both"/>
        <w:rPr>
          <w:rFonts w:ascii="Arial" w:hAnsi="Arial" w:cs="Arial"/>
        </w:rPr>
      </w:pPr>
      <w:r w:rsidRPr="00547AE2">
        <w:rPr>
          <w:rFonts w:ascii="Arial" w:hAnsi="Arial" w:cs="Arial"/>
        </w:rPr>
        <w:t>Součástí každého dotovaného projektu je hledisko dlouhodobě udržitelného bezpečného provozu sportovního hřiště apod. zařízení, včetně správné montáže prvků (soupravy pro sport). Provozovatelé mají zajistit takové podmínky na principech pravidelných nezávislých kontrol provozu a herních a sportovních prvků, aby zajistili účinnou prevenci úrazů zejména dětí a mládeže. Veškeré podklady jsou obsahem „</w:t>
      </w:r>
      <w:r w:rsidRPr="00547AE2">
        <w:rPr>
          <w:rFonts w:ascii="Arial" w:hAnsi="Arial" w:cs="Arial"/>
          <w:b/>
        </w:rPr>
        <w:t>Metodického postupu k zabezpečení prevence úrazů dětí a mládeže na hřištích, sportovištích a</w:t>
      </w:r>
      <w:r w:rsidR="00547AE2">
        <w:rPr>
          <w:rFonts w:ascii="Arial" w:hAnsi="Arial" w:cs="Arial"/>
          <w:b/>
        </w:rPr>
        <w:t> </w:t>
      </w:r>
      <w:r w:rsidRPr="00547AE2">
        <w:rPr>
          <w:rFonts w:ascii="Arial" w:hAnsi="Arial" w:cs="Arial"/>
          <w:b/>
        </w:rPr>
        <w:t>v tělocvičnách</w:t>
      </w:r>
      <w:r w:rsidRPr="00547AE2">
        <w:rPr>
          <w:rFonts w:ascii="Arial" w:hAnsi="Arial" w:cs="Arial"/>
        </w:rPr>
        <w:t xml:space="preserve">“.   </w:t>
      </w:r>
    </w:p>
    <w:p w:rsidR="00614DE2" w:rsidRPr="00547AE2" w:rsidRDefault="00614DE2" w:rsidP="00614DE2">
      <w:pPr>
        <w:rPr>
          <w:rFonts w:ascii="Arial" w:hAnsi="Arial" w:cs="Arial"/>
        </w:rPr>
      </w:pPr>
      <w:r w:rsidRPr="00547AE2">
        <w:rPr>
          <w:rFonts w:ascii="Arial" w:hAnsi="Arial" w:cs="Arial"/>
        </w:rPr>
        <w:t>Doporučené principy jsou následující:</w:t>
      </w:r>
    </w:p>
    <w:p w:rsidR="00614DE2" w:rsidRPr="00547AE2" w:rsidRDefault="00614DE2" w:rsidP="00614DE2">
      <w:pPr>
        <w:numPr>
          <w:ilvl w:val="0"/>
          <w:numId w:val="1"/>
        </w:numPr>
        <w:spacing w:after="120" w:line="240" w:lineRule="auto"/>
        <w:jc w:val="both"/>
        <w:rPr>
          <w:rFonts w:ascii="Arial" w:hAnsi="Arial" w:cs="Arial"/>
        </w:rPr>
      </w:pPr>
      <w:r w:rsidRPr="00547AE2">
        <w:rPr>
          <w:rFonts w:ascii="Arial" w:hAnsi="Arial" w:cs="Arial"/>
        </w:rPr>
        <w:t>Správná a nezávislým subjektem ověřená instalace herních a sportovních prvků a bezpečných povrchů odpovídajících evropským normám.</w:t>
      </w:r>
    </w:p>
    <w:p w:rsidR="00614DE2" w:rsidRPr="00547AE2" w:rsidRDefault="00614DE2" w:rsidP="00614DE2">
      <w:pPr>
        <w:numPr>
          <w:ilvl w:val="0"/>
          <w:numId w:val="1"/>
        </w:numPr>
        <w:spacing w:after="120" w:line="240" w:lineRule="auto"/>
        <w:jc w:val="both"/>
        <w:rPr>
          <w:rFonts w:ascii="Arial" w:hAnsi="Arial" w:cs="Arial"/>
        </w:rPr>
      </w:pPr>
      <w:r w:rsidRPr="00547AE2">
        <w:rPr>
          <w:rFonts w:ascii="Arial" w:hAnsi="Arial" w:cs="Arial"/>
        </w:rPr>
        <w:t>Řádné vymezení používání jednotlivých herních a sportovních prvků či celého hřiště v</w:t>
      </w:r>
      <w:r w:rsidR="00547AE2">
        <w:rPr>
          <w:rFonts w:ascii="Arial" w:hAnsi="Arial" w:cs="Arial"/>
        </w:rPr>
        <w:t> </w:t>
      </w:r>
      <w:r w:rsidRPr="00547AE2">
        <w:rPr>
          <w:rFonts w:ascii="Arial" w:hAnsi="Arial" w:cs="Arial"/>
        </w:rPr>
        <w:t>závislosti na věku, pro který jsou určeny.</w:t>
      </w:r>
    </w:p>
    <w:p w:rsidR="00614DE2" w:rsidRPr="00547AE2" w:rsidRDefault="00614DE2" w:rsidP="00614DE2">
      <w:pPr>
        <w:numPr>
          <w:ilvl w:val="0"/>
          <w:numId w:val="1"/>
        </w:numPr>
        <w:spacing w:after="120" w:line="240" w:lineRule="auto"/>
        <w:jc w:val="both"/>
        <w:rPr>
          <w:rFonts w:ascii="Arial" w:hAnsi="Arial" w:cs="Arial"/>
        </w:rPr>
      </w:pPr>
      <w:r w:rsidRPr="00547AE2">
        <w:rPr>
          <w:rFonts w:ascii="Arial" w:hAnsi="Arial" w:cs="Arial"/>
        </w:rPr>
        <w:t>Zajištění bezpečného provozu hřišť v souladu s platnými právními předpisy, požadavky technických norem, metodickými a jinými pokyny vydanými státními institucemi v ČR.</w:t>
      </w:r>
    </w:p>
    <w:p w:rsidR="00614DE2" w:rsidRPr="00547AE2" w:rsidRDefault="00614DE2" w:rsidP="00614DE2">
      <w:pPr>
        <w:numPr>
          <w:ilvl w:val="0"/>
          <w:numId w:val="1"/>
        </w:numPr>
        <w:spacing w:after="120" w:line="240" w:lineRule="auto"/>
        <w:jc w:val="both"/>
        <w:rPr>
          <w:rFonts w:ascii="Arial" w:hAnsi="Arial" w:cs="Arial"/>
        </w:rPr>
      </w:pPr>
      <w:r w:rsidRPr="00547AE2">
        <w:rPr>
          <w:rFonts w:ascii="Arial" w:hAnsi="Arial" w:cs="Arial"/>
        </w:rPr>
        <w:t>Pro každé hřiště je třeba mít zpracovaný provozní a návštěvní řád a zajistit jejich dodržování.</w:t>
      </w:r>
    </w:p>
    <w:p w:rsidR="00614DE2" w:rsidRPr="00547AE2" w:rsidRDefault="00614DE2" w:rsidP="00614DE2">
      <w:pPr>
        <w:numPr>
          <w:ilvl w:val="0"/>
          <w:numId w:val="1"/>
        </w:numPr>
        <w:spacing w:after="120" w:line="240" w:lineRule="auto"/>
        <w:jc w:val="both"/>
        <w:rPr>
          <w:rFonts w:ascii="Arial" w:hAnsi="Arial" w:cs="Arial"/>
        </w:rPr>
      </w:pPr>
      <w:r w:rsidRPr="00547AE2">
        <w:rPr>
          <w:rFonts w:ascii="Arial" w:hAnsi="Arial" w:cs="Arial"/>
        </w:rPr>
        <w:t>Součástí provozního řádu musí být třístupňová kontrola provozu hřiště (běžná vizuální, provozní a pravidelná kontrola), včetně stanovené osobní odpovědnosti za jejich provádění a za bezpečnostní stav hřiště.</w:t>
      </w:r>
    </w:p>
    <w:p w:rsidR="00614DE2" w:rsidRPr="00547AE2" w:rsidRDefault="00614DE2" w:rsidP="00614DE2">
      <w:pPr>
        <w:numPr>
          <w:ilvl w:val="0"/>
          <w:numId w:val="1"/>
        </w:numPr>
        <w:spacing w:after="120" w:line="240" w:lineRule="auto"/>
        <w:jc w:val="both"/>
        <w:rPr>
          <w:rFonts w:ascii="Arial" w:hAnsi="Arial" w:cs="Arial"/>
        </w:rPr>
      </w:pPr>
      <w:r w:rsidRPr="00547AE2">
        <w:rPr>
          <w:rFonts w:ascii="Arial" w:hAnsi="Arial" w:cs="Arial"/>
        </w:rPr>
        <w:t xml:space="preserve">Pravidelnou (roční) odbornou technickou kontrolu, která je součástí třístupňové kontroly provozu hřiště, nechat provádět nezávislým certifikovaným subjektem. </w:t>
      </w:r>
    </w:p>
    <w:p w:rsidR="00614DE2" w:rsidRPr="00547AE2" w:rsidRDefault="00614DE2" w:rsidP="00614DE2">
      <w:pPr>
        <w:numPr>
          <w:ilvl w:val="0"/>
          <w:numId w:val="1"/>
        </w:numPr>
        <w:spacing w:after="120" w:line="240" w:lineRule="auto"/>
        <w:jc w:val="both"/>
        <w:rPr>
          <w:rFonts w:ascii="Arial" w:hAnsi="Arial" w:cs="Arial"/>
        </w:rPr>
      </w:pPr>
      <w:r w:rsidRPr="00547AE2">
        <w:rPr>
          <w:rFonts w:ascii="Arial" w:hAnsi="Arial" w:cs="Arial"/>
        </w:rPr>
        <w:t>Kontrolou zjištěné závady bezodkladně opravit, popřípadě kontrolou označené nevyhovující prvky odstranit.</w:t>
      </w:r>
    </w:p>
    <w:p w:rsidR="00614DE2" w:rsidRPr="00547AE2" w:rsidRDefault="00614DE2" w:rsidP="00614DE2">
      <w:pPr>
        <w:numPr>
          <w:ilvl w:val="0"/>
          <w:numId w:val="1"/>
        </w:numPr>
        <w:spacing w:after="120" w:line="240" w:lineRule="auto"/>
        <w:jc w:val="both"/>
        <w:rPr>
          <w:rFonts w:ascii="Arial" w:hAnsi="Arial" w:cs="Arial"/>
        </w:rPr>
      </w:pPr>
      <w:r w:rsidRPr="00547AE2">
        <w:rPr>
          <w:rFonts w:ascii="Arial" w:hAnsi="Arial" w:cs="Arial"/>
        </w:rPr>
        <w:t>Značka kvality „Hřiště-sportoviště-tělocvična-OVĚŘENÝ PROVOZ“ je vaším průkazem a</w:t>
      </w:r>
      <w:r w:rsidR="00547AE2">
        <w:rPr>
          <w:rFonts w:ascii="Arial" w:hAnsi="Arial" w:cs="Arial"/>
        </w:rPr>
        <w:t> </w:t>
      </w:r>
      <w:r w:rsidRPr="00547AE2">
        <w:rPr>
          <w:rFonts w:ascii="Arial" w:hAnsi="Arial" w:cs="Arial"/>
        </w:rPr>
        <w:t>dokladem o svědomitém provozování hřiště v náležité kvalitě a bezpečnosti</w:t>
      </w:r>
      <w:r w:rsidR="00547AE2">
        <w:rPr>
          <w:rFonts w:ascii="Arial" w:hAnsi="Arial" w:cs="Arial"/>
        </w:rPr>
        <w:t xml:space="preserve"> (viz </w:t>
      </w:r>
      <w:r w:rsidRPr="00547AE2">
        <w:rPr>
          <w:rFonts w:ascii="Arial" w:hAnsi="Arial" w:cs="Arial"/>
        </w:rPr>
        <w:t>Metodický postup).</w:t>
      </w:r>
    </w:p>
    <w:p w:rsidR="00614DE2" w:rsidRPr="00547AE2" w:rsidRDefault="00614DE2" w:rsidP="00614DE2">
      <w:pPr>
        <w:numPr>
          <w:ilvl w:val="0"/>
          <w:numId w:val="1"/>
        </w:numPr>
        <w:spacing w:after="120" w:line="240" w:lineRule="auto"/>
        <w:jc w:val="both"/>
        <w:rPr>
          <w:rFonts w:ascii="Arial" w:hAnsi="Arial" w:cs="Arial"/>
        </w:rPr>
      </w:pPr>
      <w:r w:rsidRPr="00547AE2">
        <w:rPr>
          <w:rFonts w:ascii="Arial" w:hAnsi="Arial" w:cs="Arial"/>
        </w:rPr>
        <w:t>Kompletní Metodický postup podpořený MV a řadou dalších autorit je k dispozi</w:t>
      </w:r>
      <w:r w:rsidR="00547AE2">
        <w:rPr>
          <w:rFonts w:ascii="Arial" w:hAnsi="Arial" w:cs="Arial"/>
        </w:rPr>
        <w:t>ci na </w:t>
      </w:r>
      <w:r w:rsidRPr="00547AE2">
        <w:rPr>
          <w:rFonts w:ascii="Arial" w:hAnsi="Arial" w:cs="Arial"/>
        </w:rPr>
        <w:t xml:space="preserve">adrese </w:t>
      </w:r>
      <w:hyperlink r:id="rId8" w:history="1">
        <w:r w:rsidRPr="00547AE2">
          <w:rPr>
            <w:rStyle w:val="Hypertextovodkaz"/>
            <w:rFonts w:ascii="Arial" w:hAnsi="Arial" w:cs="Arial"/>
          </w:rPr>
          <w:t>http://www.overenehriste.cz/users/files/dokumenty/SCS-Prevence-web-pdf.pdf</w:t>
        </w:r>
      </w:hyperlink>
      <w:r w:rsidRPr="00547AE2">
        <w:rPr>
          <w:rFonts w:ascii="Arial" w:hAnsi="Arial" w:cs="Arial"/>
          <w:color w:val="1F497D"/>
        </w:rPr>
        <w:t xml:space="preserve"> </w:t>
      </w:r>
    </w:p>
    <w:p w:rsidR="00614DE2" w:rsidRPr="00547AE2" w:rsidRDefault="00614DE2" w:rsidP="00614DE2">
      <w:pPr>
        <w:rPr>
          <w:rFonts w:ascii="Arial" w:hAnsi="Arial" w:cs="Arial"/>
        </w:rPr>
      </w:pPr>
    </w:p>
    <w:sectPr w:rsidR="00614DE2" w:rsidRPr="00547AE2" w:rsidSect="00547AE2">
      <w:headerReference w:type="default" r:id="rId9"/>
      <w:footerReference w:type="default" r:id="rId10"/>
      <w:pgSz w:w="11906" w:h="16838"/>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289" w:rsidRDefault="00657289" w:rsidP="00547AE2">
      <w:pPr>
        <w:spacing w:after="0" w:line="240" w:lineRule="auto"/>
      </w:pPr>
      <w:r>
        <w:separator/>
      </w:r>
    </w:p>
  </w:endnote>
  <w:endnote w:type="continuationSeparator" w:id="0">
    <w:p w:rsidR="00657289" w:rsidRDefault="00657289" w:rsidP="00547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AE2" w:rsidRPr="00547AE2" w:rsidRDefault="00547AE2" w:rsidP="00547AE2">
    <w:pPr>
      <w:rPr>
        <w:rFonts w:ascii="Arial" w:hAnsi="Arial" w:cs="Arial"/>
      </w:rPr>
    </w:pPr>
    <w:r w:rsidRPr="00547AE2">
      <w:rPr>
        <w:rFonts w:ascii="Arial" w:hAnsi="Arial" w:cs="Arial"/>
      </w:rPr>
      <w:t>Odbor prevence kriminality, listopad 201</w:t>
    </w:r>
    <w:r w:rsidR="00A06531">
      <w:rPr>
        <w:rFonts w:ascii="Arial" w:hAnsi="Arial" w:cs="Arial"/>
      </w:rPr>
      <w:t>8</w:t>
    </w:r>
  </w:p>
  <w:p w:rsidR="00547AE2" w:rsidRDefault="00547AE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289" w:rsidRDefault="00657289" w:rsidP="00547AE2">
      <w:pPr>
        <w:spacing w:after="0" w:line="240" w:lineRule="auto"/>
      </w:pPr>
      <w:r>
        <w:separator/>
      </w:r>
    </w:p>
  </w:footnote>
  <w:footnote w:type="continuationSeparator" w:id="0">
    <w:p w:rsidR="00657289" w:rsidRDefault="00657289" w:rsidP="00547A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AE2" w:rsidRDefault="00547AE2">
    <w:pPr>
      <w:pStyle w:val="Zhlav"/>
    </w:pPr>
    <w:r>
      <w:rPr>
        <w:noProof/>
        <w:lang w:eastAsia="cs-CZ"/>
      </w:rPr>
      <w:drawing>
        <wp:inline distT="0" distB="0" distL="0" distR="0" wp14:anchorId="793AEA87" wp14:editId="6444244B">
          <wp:extent cx="2114550" cy="561975"/>
          <wp:effectExtent l="0" t="0" r="0" b="9525"/>
          <wp:docPr id="1" name="Obrázek 1" descr="logo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561975"/>
                  </a:xfrm>
                  <a:prstGeom prst="rect">
                    <a:avLst/>
                  </a:prstGeom>
                  <a:noFill/>
                  <a:ln>
                    <a:noFill/>
                  </a:ln>
                </pic:spPr>
              </pic:pic>
            </a:graphicData>
          </a:graphic>
        </wp:inline>
      </w:drawing>
    </w:r>
    <w:r>
      <w:tab/>
    </w:r>
    <w:r>
      <w:tab/>
    </w:r>
    <w:r>
      <w:rPr>
        <w:noProof/>
        <w:lang w:eastAsia="cs-CZ"/>
      </w:rPr>
      <w:drawing>
        <wp:inline distT="0" distB="0" distL="0" distR="0" wp14:anchorId="253136C7" wp14:editId="6C0F287D">
          <wp:extent cx="1447800" cy="485775"/>
          <wp:effectExtent l="0" t="0" r="0" b="9525"/>
          <wp:docPr id="2" name="Obrázek 2" descr="OPK_H_PANT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OPK_H_PANTO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47800" cy="4857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C16E51"/>
    <w:multiLevelType w:val="hybridMultilevel"/>
    <w:tmpl w:val="CFE87594"/>
    <w:lvl w:ilvl="0" w:tplc="0405000F">
      <w:start w:val="1"/>
      <w:numFmt w:val="decimal"/>
      <w:lvlText w:val="%1."/>
      <w:lvlJc w:val="left"/>
      <w:pPr>
        <w:tabs>
          <w:tab w:val="num" w:pos="360"/>
        </w:tabs>
        <w:ind w:left="360" w:hanging="360"/>
      </w:pPr>
      <w:rPr>
        <w:rFonts w:cs="Times New Roman" w:hint="default"/>
      </w:rPr>
    </w:lvl>
    <w:lvl w:ilvl="1" w:tplc="1EE81AAA">
      <w:start w:val="1"/>
      <w:numFmt w:val="bullet"/>
      <w:lvlText w:val="•"/>
      <w:lvlJc w:val="left"/>
      <w:pPr>
        <w:tabs>
          <w:tab w:val="num" w:pos="1080"/>
        </w:tabs>
        <w:ind w:left="1080" w:hanging="360"/>
      </w:pPr>
      <w:rPr>
        <w:rFonts w:ascii="Times New Roman" w:hAnsi="Times New Roman" w:hint="default"/>
      </w:rPr>
    </w:lvl>
    <w:lvl w:ilvl="2" w:tplc="2E861FB0">
      <w:start w:val="1"/>
      <w:numFmt w:val="bullet"/>
      <w:lvlText w:val="•"/>
      <w:lvlJc w:val="left"/>
      <w:pPr>
        <w:tabs>
          <w:tab w:val="num" w:pos="1800"/>
        </w:tabs>
        <w:ind w:left="1800" w:hanging="360"/>
      </w:pPr>
      <w:rPr>
        <w:rFonts w:ascii="Times New Roman" w:hAnsi="Times New Roman" w:hint="default"/>
      </w:rPr>
    </w:lvl>
    <w:lvl w:ilvl="3" w:tplc="0F10175C" w:tentative="1">
      <w:start w:val="1"/>
      <w:numFmt w:val="bullet"/>
      <w:lvlText w:val="•"/>
      <w:lvlJc w:val="left"/>
      <w:pPr>
        <w:tabs>
          <w:tab w:val="num" w:pos="2520"/>
        </w:tabs>
        <w:ind w:left="2520" w:hanging="360"/>
      </w:pPr>
      <w:rPr>
        <w:rFonts w:ascii="Times New Roman" w:hAnsi="Times New Roman" w:hint="default"/>
      </w:rPr>
    </w:lvl>
    <w:lvl w:ilvl="4" w:tplc="83F61450" w:tentative="1">
      <w:start w:val="1"/>
      <w:numFmt w:val="bullet"/>
      <w:lvlText w:val="•"/>
      <w:lvlJc w:val="left"/>
      <w:pPr>
        <w:tabs>
          <w:tab w:val="num" w:pos="3240"/>
        </w:tabs>
        <w:ind w:left="3240" w:hanging="360"/>
      </w:pPr>
      <w:rPr>
        <w:rFonts w:ascii="Times New Roman" w:hAnsi="Times New Roman" w:hint="default"/>
      </w:rPr>
    </w:lvl>
    <w:lvl w:ilvl="5" w:tplc="AB264CA0" w:tentative="1">
      <w:start w:val="1"/>
      <w:numFmt w:val="bullet"/>
      <w:lvlText w:val="•"/>
      <w:lvlJc w:val="left"/>
      <w:pPr>
        <w:tabs>
          <w:tab w:val="num" w:pos="3960"/>
        </w:tabs>
        <w:ind w:left="3960" w:hanging="360"/>
      </w:pPr>
      <w:rPr>
        <w:rFonts w:ascii="Times New Roman" w:hAnsi="Times New Roman" w:hint="default"/>
      </w:rPr>
    </w:lvl>
    <w:lvl w:ilvl="6" w:tplc="2430BCE4" w:tentative="1">
      <w:start w:val="1"/>
      <w:numFmt w:val="bullet"/>
      <w:lvlText w:val="•"/>
      <w:lvlJc w:val="left"/>
      <w:pPr>
        <w:tabs>
          <w:tab w:val="num" w:pos="4680"/>
        </w:tabs>
        <w:ind w:left="4680" w:hanging="360"/>
      </w:pPr>
      <w:rPr>
        <w:rFonts w:ascii="Times New Roman" w:hAnsi="Times New Roman" w:hint="default"/>
      </w:rPr>
    </w:lvl>
    <w:lvl w:ilvl="7" w:tplc="E9421000" w:tentative="1">
      <w:start w:val="1"/>
      <w:numFmt w:val="bullet"/>
      <w:lvlText w:val="•"/>
      <w:lvlJc w:val="left"/>
      <w:pPr>
        <w:tabs>
          <w:tab w:val="num" w:pos="5400"/>
        </w:tabs>
        <w:ind w:left="5400" w:hanging="360"/>
      </w:pPr>
      <w:rPr>
        <w:rFonts w:ascii="Times New Roman" w:hAnsi="Times New Roman" w:hint="default"/>
      </w:rPr>
    </w:lvl>
    <w:lvl w:ilvl="8" w:tplc="553E85EE" w:tentative="1">
      <w:start w:val="1"/>
      <w:numFmt w:val="bullet"/>
      <w:lvlText w:val="•"/>
      <w:lvlJc w:val="left"/>
      <w:pPr>
        <w:tabs>
          <w:tab w:val="num" w:pos="6120"/>
        </w:tabs>
        <w:ind w:left="612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DE2"/>
    <w:rsid w:val="000C183A"/>
    <w:rsid w:val="00392FA5"/>
    <w:rsid w:val="0043040E"/>
    <w:rsid w:val="00547AE2"/>
    <w:rsid w:val="00614DE2"/>
    <w:rsid w:val="00657289"/>
    <w:rsid w:val="00A06531"/>
    <w:rsid w:val="00BF327B"/>
    <w:rsid w:val="00E1425A"/>
    <w:rsid w:val="00F408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4DE2"/>
    <w:rPr>
      <w:rFonts w:ascii="Calibri" w:eastAsia="Times New Roman"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semiHidden/>
    <w:unhideWhenUsed/>
    <w:rsid w:val="00614DE2"/>
    <w:rPr>
      <w:rFonts w:cs="Times New Roman"/>
      <w:color w:val="0000FF"/>
      <w:u w:val="single"/>
    </w:rPr>
  </w:style>
  <w:style w:type="paragraph" w:styleId="Zhlav">
    <w:name w:val="header"/>
    <w:basedOn w:val="Normln"/>
    <w:link w:val="ZhlavChar"/>
    <w:uiPriority w:val="99"/>
    <w:unhideWhenUsed/>
    <w:rsid w:val="00547AE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47AE2"/>
    <w:rPr>
      <w:rFonts w:ascii="Calibri" w:eastAsia="Times New Roman" w:hAnsi="Calibri" w:cs="Times New Roman"/>
    </w:rPr>
  </w:style>
  <w:style w:type="paragraph" w:styleId="Zpat">
    <w:name w:val="footer"/>
    <w:basedOn w:val="Normln"/>
    <w:link w:val="ZpatChar"/>
    <w:uiPriority w:val="99"/>
    <w:unhideWhenUsed/>
    <w:rsid w:val="00547AE2"/>
    <w:pPr>
      <w:tabs>
        <w:tab w:val="center" w:pos="4536"/>
        <w:tab w:val="right" w:pos="9072"/>
      </w:tabs>
      <w:spacing w:after="0" w:line="240" w:lineRule="auto"/>
    </w:pPr>
  </w:style>
  <w:style w:type="character" w:customStyle="1" w:styleId="ZpatChar">
    <w:name w:val="Zápatí Char"/>
    <w:basedOn w:val="Standardnpsmoodstavce"/>
    <w:link w:val="Zpat"/>
    <w:uiPriority w:val="99"/>
    <w:rsid w:val="00547AE2"/>
    <w:rPr>
      <w:rFonts w:ascii="Calibri" w:eastAsia="Times New Roman" w:hAnsi="Calibri" w:cs="Times New Roman"/>
    </w:rPr>
  </w:style>
  <w:style w:type="paragraph" w:styleId="Textbubliny">
    <w:name w:val="Balloon Text"/>
    <w:basedOn w:val="Normln"/>
    <w:link w:val="TextbublinyChar"/>
    <w:uiPriority w:val="99"/>
    <w:semiHidden/>
    <w:unhideWhenUsed/>
    <w:rsid w:val="00547AE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47AE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4DE2"/>
    <w:rPr>
      <w:rFonts w:ascii="Calibri" w:eastAsia="Times New Roman"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semiHidden/>
    <w:unhideWhenUsed/>
    <w:rsid w:val="00614DE2"/>
    <w:rPr>
      <w:rFonts w:cs="Times New Roman"/>
      <w:color w:val="0000FF"/>
      <w:u w:val="single"/>
    </w:rPr>
  </w:style>
  <w:style w:type="paragraph" w:styleId="Zhlav">
    <w:name w:val="header"/>
    <w:basedOn w:val="Normln"/>
    <w:link w:val="ZhlavChar"/>
    <w:uiPriority w:val="99"/>
    <w:unhideWhenUsed/>
    <w:rsid w:val="00547AE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47AE2"/>
    <w:rPr>
      <w:rFonts w:ascii="Calibri" w:eastAsia="Times New Roman" w:hAnsi="Calibri" w:cs="Times New Roman"/>
    </w:rPr>
  </w:style>
  <w:style w:type="paragraph" w:styleId="Zpat">
    <w:name w:val="footer"/>
    <w:basedOn w:val="Normln"/>
    <w:link w:val="ZpatChar"/>
    <w:uiPriority w:val="99"/>
    <w:unhideWhenUsed/>
    <w:rsid w:val="00547AE2"/>
    <w:pPr>
      <w:tabs>
        <w:tab w:val="center" w:pos="4536"/>
        <w:tab w:val="right" w:pos="9072"/>
      </w:tabs>
      <w:spacing w:after="0" w:line="240" w:lineRule="auto"/>
    </w:pPr>
  </w:style>
  <w:style w:type="character" w:customStyle="1" w:styleId="ZpatChar">
    <w:name w:val="Zápatí Char"/>
    <w:basedOn w:val="Standardnpsmoodstavce"/>
    <w:link w:val="Zpat"/>
    <w:uiPriority w:val="99"/>
    <w:rsid w:val="00547AE2"/>
    <w:rPr>
      <w:rFonts w:ascii="Calibri" w:eastAsia="Times New Roman" w:hAnsi="Calibri" w:cs="Times New Roman"/>
    </w:rPr>
  </w:style>
  <w:style w:type="paragraph" w:styleId="Textbubliny">
    <w:name w:val="Balloon Text"/>
    <w:basedOn w:val="Normln"/>
    <w:link w:val="TextbublinyChar"/>
    <w:uiPriority w:val="99"/>
    <w:semiHidden/>
    <w:unhideWhenUsed/>
    <w:rsid w:val="00547AE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47AE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verenehriste.cz/users/files/dokumenty/SCS-Prevence-web-pdf.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1902</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Polák-MV</cp:lastModifiedBy>
  <cp:revision>5</cp:revision>
  <dcterms:created xsi:type="dcterms:W3CDTF">2017-11-08T13:48:00Z</dcterms:created>
  <dcterms:modified xsi:type="dcterms:W3CDTF">2018-10-16T06:50:00Z</dcterms:modified>
</cp:coreProperties>
</file>